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80" w:line="276" w:lineRule="auto"/>
      </w:pPr>
      <w:r>
        <w:rPr>
          <w:rFonts w:ascii="Calibri" w:hAnsi="Calibri"/>
          <w:b/>
          <w:color w:val="1B365D"/>
          <w:sz w:val="52"/>
        </w:rPr>
        <w:t>Organizational Structure &amp; The HRMO Role</w:t>
      </w:r>
    </w:p>
    <w:p>
      <w:pPr>
        <w:spacing w:before="0" w:after="480" w:line="276" w:lineRule="auto"/>
      </w:pPr>
      <w:r>
        <w:rPr>
          <w:i/>
          <w:color w:val="4A77A2"/>
          <w:sz w:val="26"/>
        </w:rPr>
        <w:t>A Comprehensive Guide to Modern Structural Frameworks and Human Resource Integration</w:t>
      </w:r>
    </w:p>
    <w:p>
      <w:pPr>
        <w:spacing w:before="0" w:after="360" w:line="276" w:lineRule="auto"/>
        <w:pBdr>
          <w:bottom w:val="single" w:sz="12" w:space="1" w:color="1B365D"/>
        </w:pBdr>
      </w:pPr>
    </w:p>
    <w:p>
      <w:pPr>
        <w:pStyle w:val="Heading1"/>
        <w:spacing w:before="320" w:after="120" w:line="276" w:lineRule="auto"/>
      </w:pPr>
      <w:r>
        <w:rPr>
          <w:rFonts w:ascii="Calibri" w:hAnsi="Calibri"/>
          <w:b/>
          <w:color w:val="1B365D"/>
          <w:sz w:val="32"/>
        </w:rPr>
        <w:t>1. Introduction to Organizational Structure</w:t>
      </w:r>
    </w:p>
    <w:p>
      <w:pPr>
        <w:spacing w:before="0" w:after="120" w:line="276" w:lineRule="auto"/>
      </w:pPr>
      <w:r>
        <w:t>An organizational structure is the foundational framework that defines how roles, power, responsibilities, and information are allocated and coordinated within an entity. It serves as the blueprint for daily workflows, decision-making pipelines, and overall operational efficiency. Without a clear structure, organizations face systematic confusion, duplicated efforts, and communication bottlenecks.</w:t>
      </w:r>
    </w:p>
    <w:p>
      <w:pPr>
        <w:pStyle w:val="Heading1"/>
        <w:spacing w:before="360" w:after="120" w:line="276" w:lineRule="auto"/>
      </w:pPr>
      <w:r>
        <w:rPr>
          <w:rFonts w:ascii="Calibri" w:hAnsi="Calibri"/>
          <w:b/>
          <w:color w:val="1B365D"/>
          <w:sz w:val="32"/>
        </w:rPr>
        <w:t>2. Core Types of Organizational Structures</w:t>
      </w:r>
    </w:p>
    <w:p>
      <w:pPr>
        <w:pStyle w:val="ListBullet"/>
        <w:spacing w:before="40" w:after="80" w:line="276" w:lineRule="auto"/>
      </w:pPr>
      <w:r>
        <w:rPr>
          <w:b/>
          <w:color w:val="333333"/>
        </w:rPr>
        <w:t xml:space="preserve">Hierarchical (Tall) Structure: </w:t>
      </w:r>
      <w:r>
        <w:t>The traditional pyramid setup where power flows from top executives down through layers of middle management to frontline workers. Every employee has one clear supervisor, creating clear lines of authority but risking slow decision-making due to bureaucratic layers.</w:t>
      </w:r>
    </w:p>
    <w:p>
      <w:pPr>
        <w:pStyle w:val="ListBullet"/>
        <w:spacing w:before="40" w:after="80" w:line="276" w:lineRule="auto"/>
      </w:pPr>
      <w:r>
        <w:rPr>
          <w:b/>
          <w:color w:val="333333"/>
        </w:rPr>
        <w:t xml:space="preserve">Flat (Horizontal) Structure: </w:t>
      </w:r>
      <w:r>
        <w:t>A framework with minimal vertical layers between leadership and staff. This model minimizes middle management, vastly speeding up internal communication and increasing employee autonomy, though it can suffer from vague responsibilities as teams scale up.</w:t>
      </w:r>
    </w:p>
    <w:p>
      <w:pPr>
        <w:pStyle w:val="ListBullet"/>
        <w:spacing w:before="40" w:after="80" w:line="276" w:lineRule="auto"/>
      </w:pPr>
      <w:r>
        <w:rPr>
          <w:b/>
          <w:color w:val="333333"/>
        </w:rPr>
        <w:t xml:space="preserve">Functional Structure: </w:t>
      </w:r>
      <w:r>
        <w:t>Groups the workforce based on specialized job functions or skills, such as Marketing, Finance, and Human Resources. This creates high levels of operational efficiency within departments, though it sometimes leads to isolated silos where departments fail to collaborate.</w:t>
      </w:r>
    </w:p>
    <w:p>
      <w:pPr>
        <w:pStyle w:val="ListBullet"/>
        <w:spacing w:before="40" w:after="80" w:line="276" w:lineRule="auto"/>
      </w:pPr>
      <w:r>
        <w:rPr>
          <w:b/>
          <w:color w:val="333333"/>
        </w:rPr>
        <w:t xml:space="preserve">Divisional Structure: </w:t>
      </w:r>
      <w:r>
        <w:t>Organizes teams around specific products, projects, geographic markets, or distinct customer segments. Each division functions almost like an independent business with its own dedicated resources, providing high adaptability but leading to duplicated roles across divisions.</w:t>
      </w:r>
    </w:p>
    <w:p>
      <w:pPr>
        <w:pStyle w:val="ListBullet"/>
        <w:spacing w:before="40" w:after="80" w:line="276" w:lineRule="auto"/>
      </w:pPr>
      <w:r>
        <w:rPr>
          <w:b/>
          <w:color w:val="333333"/>
        </w:rPr>
        <w:t xml:space="preserve">Matrix Structure: </w:t>
      </w:r>
      <w:r>
        <w:t>A hybrid model where employees report to multiple managers—typically both a functional manager (by specialty) and a project manager (by initiative). While it ensures optimal resource sharing and highly cross-functional collaboration, it frequently introduces role conflict and complex reporting dynamics.</w:t>
      </w:r>
    </w:p>
    <w:p>
      <w:pPr>
        <w:pStyle w:val="Heading2"/>
        <w:spacing w:before="280" w:after="120" w:line="276" w:lineRule="auto"/>
      </w:pPr>
      <w:r>
        <w:rPr>
          <w:b/>
          <w:color w:val="4A77A2"/>
          <w:sz w:val="26"/>
        </w:rPr>
        <w:t>Structural Comparison Matrix</w:t>
      </w:r>
    </w:p>
    <w:tbl>
      <w:tblPr>
        <w:tblW w:type="auto" w:w="0"/>
        <w:jc w:val="center"/>
        <w:tblLook w:firstColumn="1" w:firstRow="1" w:lastColumn="0" w:lastRow="0" w:noHBand="0" w:noVBand="1" w:val="04A0"/>
      </w:tblPr>
      <w:tblGrid>
        <w:gridCol w:w="2880"/>
        <w:gridCol w:w="2880"/>
        <w:gridCol w:w="2880"/>
      </w:tblGrid>
      <w:tr>
        <w:tc>
          <w:tcPr>
            <w:tcW w:type="dxa" w:w="2592"/>
            <w:shd w:fill="1B365D"/>
          </w:tcPr>
          <w:p>
            <w:pPr>
              <w:spacing w:before="80" w:after="80" w:line="276" w:lineRule="auto"/>
              <w:jc w:val="left"/>
            </w:pPr>
            <w:r>
              <w:rPr>
                <w:b/>
                <w:color w:val="FFFFFF"/>
              </w:rPr>
              <w:t>Structure Type</w:t>
            </w:r>
          </w:p>
        </w:tc>
        <w:tc>
          <w:tcPr>
            <w:tcW w:type="dxa" w:w="3312"/>
            <w:shd w:fill="1B365D"/>
          </w:tcPr>
          <w:p>
            <w:pPr>
              <w:spacing w:before="80" w:after="80" w:line="276" w:lineRule="auto"/>
              <w:jc w:val="left"/>
            </w:pPr>
            <w:r>
              <w:rPr>
                <w:b/>
                <w:color w:val="FFFFFF"/>
              </w:rPr>
              <w:t>Primary Benefit</w:t>
            </w:r>
          </w:p>
        </w:tc>
        <w:tc>
          <w:tcPr>
            <w:tcW w:type="dxa" w:w="3456"/>
            <w:shd w:fill="1B365D"/>
          </w:tcPr>
          <w:p>
            <w:pPr>
              <w:spacing w:before="80" w:after="80" w:line="276" w:lineRule="auto"/>
              <w:jc w:val="left"/>
            </w:pPr>
            <w:r>
              <w:rPr>
                <w:b/>
                <w:color w:val="FFFFFF"/>
              </w:rPr>
              <w:t>Primary Challenge</w:t>
            </w:r>
          </w:p>
        </w:tc>
      </w:tr>
      <w:tr>
        <w:tc>
          <w:tcPr>
            <w:tcW w:type="dxa" w:w="2592"/>
            <w:tcBorders>
              <w:bottom w:val="single" w:sz="4" w:space="0" w:color="D1D5DB"/>
            </w:tcBorders>
          </w:tcPr>
          <w:p>
            <w:pPr>
              <w:spacing w:before="80" w:after="80" w:line="276" w:lineRule="auto"/>
            </w:pPr>
            <w:r>
              <w:t>Hierarchical</w:t>
            </w:r>
          </w:p>
        </w:tc>
        <w:tc>
          <w:tcPr>
            <w:tcW w:type="dxa" w:w="3312"/>
            <w:tcBorders>
              <w:bottom w:val="single" w:sz="4" w:space="0" w:color="D1D5DB"/>
            </w:tcBorders>
          </w:tcPr>
          <w:p>
            <w:pPr>
              <w:spacing w:before="80" w:after="80" w:line="276" w:lineRule="auto"/>
            </w:pPr>
            <w:r>
              <w:t>Very clear lines of authority and progression</w:t>
            </w:r>
          </w:p>
        </w:tc>
        <w:tc>
          <w:tcPr>
            <w:tcW w:type="dxa" w:w="3456"/>
            <w:tcBorders>
              <w:bottom w:val="single" w:sz="4" w:space="0" w:color="D1D5DB"/>
            </w:tcBorders>
          </w:tcPr>
          <w:p>
            <w:pPr>
              <w:spacing w:before="80" w:after="80" w:line="276" w:lineRule="auto"/>
            </w:pPr>
            <w:r>
              <w:t>Slow decision-making; bureaucratically rigid</w:t>
            </w:r>
          </w:p>
        </w:tc>
      </w:tr>
      <w:tr>
        <w:tc>
          <w:tcPr>
            <w:tcW w:type="dxa" w:w="2592"/>
            <w:shd w:fill="F4F6F9"/>
            <w:tcBorders>
              <w:bottom w:val="single" w:sz="4" w:space="0" w:color="D1D5DB"/>
            </w:tcBorders>
          </w:tcPr>
          <w:p>
            <w:pPr>
              <w:spacing w:before="80" w:after="80" w:line="276" w:lineRule="auto"/>
            </w:pPr>
            <w:r>
              <w:t>Flat</w:t>
            </w:r>
          </w:p>
        </w:tc>
        <w:tc>
          <w:tcPr>
            <w:tcW w:type="dxa" w:w="3312"/>
            <w:shd w:fill="F4F6F9"/>
            <w:tcBorders>
              <w:bottom w:val="single" w:sz="4" w:space="0" w:color="D1D5DB"/>
            </w:tcBorders>
          </w:tcPr>
          <w:p>
            <w:pPr>
              <w:spacing w:before="80" w:after="80" w:line="276" w:lineRule="auto"/>
            </w:pPr>
            <w:r>
              <w:t>Fast communication; highly empowered teams</w:t>
            </w:r>
          </w:p>
        </w:tc>
        <w:tc>
          <w:tcPr>
            <w:tcW w:type="dxa" w:w="3456"/>
            <w:shd w:fill="F4F6F9"/>
            <w:tcBorders>
              <w:bottom w:val="single" w:sz="4" w:space="0" w:color="D1D5DB"/>
            </w:tcBorders>
          </w:tcPr>
          <w:p>
            <w:pPr>
              <w:spacing w:before="80" w:after="80" w:line="276" w:lineRule="auto"/>
            </w:pPr>
            <w:r>
              <w:t>Role confusion; difficult to scale up</w:t>
            </w:r>
          </w:p>
        </w:tc>
      </w:tr>
      <w:tr>
        <w:tc>
          <w:tcPr>
            <w:tcW w:type="dxa" w:w="2592"/>
            <w:tcBorders>
              <w:bottom w:val="single" w:sz="4" w:space="0" w:color="D1D5DB"/>
            </w:tcBorders>
          </w:tcPr>
          <w:p>
            <w:pPr>
              <w:spacing w:before="80" w:after="80" w:line="276" w:lineRule="auto"/>
            </w:pPr>
            <w:r>
              <w:t>Functional</w:t>
            </w:r>
          </w:p>
        </w:tc>
        <w:tc>
          <w:tcPr>
            <w:tcW w:type="dxa" w:w="3312"/>
            <w:tcBorders>
              <w:bottom w:val="single" w:sz="4" w:space="0" w:color="D1D5DB"/>
            </w:tcBorders>
          </w:tcPr>
          <w:p>
            <w:pPr>
              <w:spacing w:before="80" w:after="80" w:line="276" w:lineRule="auto"/>
            </w:pPr>
            <w:r>
              <w:t>High operational efficiency and deep skill focus</w:t>
            </w:r>
          </w:p>
        </w:tc>
        <w:tc>
          <w:tcPr>
            <w:tcW w:type="dxa" w:w="3456"/>
            <w:tcBorders>
              <w:bottom w:val="single" w:sz="4" w:space="0" w:color="D1D5DB"/>
            </w:tcBorders>
          </w:tcPr>
          <w:p>
            <w:pPr>
              <w:spacing w:before="80" w:after="80" w:line="276" w:lineRule="auto"/>
            </w:pPr>
            <w:r>
              <w:t>Creates departmental silos; lacks cooperation</w:t>
            </w:r>
          </w:p>
        </w:tc>
      </w:tr>
      <w:tr>
        <w:tc>
          <w:tcPr>
            <w:tcW w:type="dxa" w:w="2592"/>
            <w:shd w:fill="F4F6F9"/>
            <w:tcBorders>
              <w:bottom w:val="single" w:sz="4" w:space="0" w:color="D1D5DB"/>
            </w:tcBorders>
          </w:tcPr>
          <w:p>
            <w:pPr>
              <w:spacing w:before="80" w:after="80" w:line="276" w:lineRule="auto"/>
            </w:pPr>
            <w:r>
              <w:t>Divisional</w:t>
            </w:r>
          </w:p>
        </w:tc>
        <w:tc>
          <w:tcPr>
            <w:tcW w:type="dxa" w:w="3312"/>
            <w:shd w:fill="F4F6F9"/>
            <w:tcBorders>
              <w:bottom w:val="single" w:sz="4" w:space="0" w:color="D1D5DB"/>
            </w:tcBorders>
          </w:tcPr>
          <w:p>
            <w:pPr>
              <w:spacing w:before="80" w:after="80" w:line="276" w:lineRule="auto"/>
            </w:pPr>
            <w:r>
              <w:t>Highly adaptable to specific market segments</w:t>
            </w:r>
          </w:p>
        </w:tc>
        <w:tc>
          <w:tcPr>
            <w:tcW w:type="dxa" w:w="3456"/>
            <w:shd w:fill="F4F6F9"/>
            <w:tcBorders>
              <w:bottom w:val="single" w:sz="4" w:space="0" w:color="D1D5DB"/>
            </w:tcBorders>
          </w:tcPr>
          <w:p>
            <w:pPr>
              <w:spacing w:before="80" w:after="80" w:line="276" w:lineRule="auto"/>
            </w:pPr>
            <w:r>
              <w:t>Duplicated operational costs and resources</w:t>
            </w:r>
          </w:p>
        </w:tc>
      </w:tr>
      <w:tr>
        <w:tc>
          <w:tcPr>
            <w:tcW w:type="dxa" w:w="2592"/>
            <w:tcBorders>
              <w:bottom w:val="single" w:sz="4" w:space="0" w:color="D1D5DB"/>
            </w:tcBorders>
          </w:tcPr>
          <w:p>
            <w:pPr>
              <w:spacing w:before="80" w:after="80" w:line="276" w:lineRule="auto"/>
            </w:pPr>
            <w:r>
              <w:t>Matrix</w:t>
            </w:r>
          </w:p>
        </w:tc>
        <w:tc>
          <w:tcPr>
            <w:tcW w:type="dxa" w:w="3312"/>
            <w:tcBorders>
              <w:bottom w:val="single" w:sz="4" w:space="0" w:color="D1D5DB"/>
            </w:tcBorders>
          </w:tcPr>
          <w:p>
            <w:pPr>
              <w:spacing w:before="80" w:after="80" w:line="276" w:lineRule="auto"/>
            </w:pPr>
            <w:r>
              <w:t>Dynamic resource sharing and cross-collaboration</w:t>
            </w:r>
          </w:p>
        </w:tc>
        <w:tc>
          <w:tcPr>
            <w:tcW w:type="dxa" w:w="3456"/>
            <w:tcBorders>
              <w:bottom w:val="single" w:sz="4" w:space="0" w:color="D1D5DB"/>
            </w:tcBorders>
          </w:tcPr>
          <w:p>
            <w:pPr>
              <w:spacing w:before="80" w:after="80" w:line="276" w:lineRule="auto"/>
            </w:pPr>
            <w:r>
              <w:t>Dual-reporting creates conflict and confusion</w:t>
            </w:r>
          </w:p>
        </w:tc>
      </w:tr>
    </w:tbl>
    <w:p>
      <w:pPr>
        <w:spacing w:before="0" w:after="240" w:line="276" w:lineRule="auto"/>
      </w:pPr>
    </w:p>
    <w:p>
      <w:pPr>
        <w:pStyle w:val="Heading1"/>
        <w:spacing w:before="360" w:after="120" w:line="276" w:lineRule="auto"/>
      </w:pPr>
      <w:r>
        <w:rPr>
          <w:rFonts w:ascii="Calibri" w:hAnsi="Calibri"/>
          <w:b/>
          <w:color w:val="1B365D"/>
          <w:sz w:val="32"/>
        </w:rPr>
        <w:t>3. The Strategic Role of the HRMO</w:t>
      </w:r>
    </w:p>
    <w:p>
      <w:pPr>
        <w:spacing w:before="0" w:after="120" w:line="276" w:lineRule="auto"/>
      </w:pPr>
      <w:r>
        <w:t>The Human Resource Management Office (HRMO) serves as the structural glue of an organization. Its primary responsibility is to align the workforce with the chosen organizational structure, ensuring that every position is appropriately filled, monitored, and supported. The core operational mandates of an HRMO include:</w:t>
      </w:r>
    </w:p>
    <w:p>
      <w:pPr>
        <w:pStyle w:val="ListBullet"/>
        <w:spacing w:before="40" w:after="80" w:line="276" w:lineRule="auto"/>
      </w:pPr>
      <w:r>
        <w:rPr>
          <w:b/>
          <w:color w:val="333333"/>
        </w:rPr>
        <w:t xml:space="preserve">Talent Acquisition &amp; Staffing: </w:t>
      </w:r>
      <w:r>
        <w:t>Managing recruitment, background screening, onboarding, and placement to fill structural gaps with qualified talent.</w:t>
      </w:r>
    </w:p>
    <w:p>
      <w:pPr>
        <w:pStyle w:val="ListBullet"/>
        <w:spacing w:before="40" w:after="80" w:line="276" w:lineRule="auto"/>
      </w:pPr>
      <w:r>
        <w:rPr>
          <w:b/>
          <w:color w:val="333333"/>
        </w:rPr>
        <w:t xml:space="preserve">Compensation &amp; Benefits Administration: </w:t>
      </w:r>
      <w:r>
        <w:t>Overseeing structural payroll delivery, health benefits, leave allocations, and retirement tracking systems.</w:t>
      </w:r>
    </w:p>
    <w:p>
      <w:pPr>
        <w:pStyle w:val="ListBullet"/>
        <w:spacing w:before="40" w:after="80" w:line="276" w:lineRule="auto"/>
      </w:pPr>
      <w:r>
        <w:rPr>
          <w:b/>
          <w:color w:val="333333"/>
        </w:rPr>
        <w:t xml:space="preserve">Compliance &amp; Risk Management: </w:t>
      </w:r>
      <w:r>
        <w:t>Enforcing alignment with external labor laws, workplace safety regulations, and internal organizational policies.</w:t>
      </w:r>
    </w:p>
    <w:p>
      <w:pPr>
        <w:pStyle w:val="ListBullet"/>
        <w:spacing w:before="40" w:after="80" w:line="276" w:lineRule="auto"/>
      </w:pPr>
      <w:r>
        <w:rPr>
          <w:b/>
          <w:color w:val="333333"/>
        </w:rPr>
        <w:t xml:space="preserve">Performance Management &amp; Development: </w:t>
      </w:r>
      <w:r>
        <w:t>Executing periodic performance appraisal tracks, career development frameworks, and training workshops to upskill employees.</w:t>
      </w:r>
    </w:p>
    <w:p>
      <w:pPr>
        <w:pStyle w:val="ListBullet"/>
        <w:spacing w:before="40" w:after="80" w:line="276" w:lineRule="auto"/>
      </w:pPr>
      <w:r>
        <w:rPr>
          <w:b/>
          <w:color w:val="333333"/>
        </w:rPr>
        <w:t xml:space="preserve">Employee Relations &amp; Conflict Resolution: </w:t>
      </w:r>
      <w:r>
        <w:t>Intervening in workplace friction, administering disciplinary protocols, and maintaining a healthy work environment.</w:t>
      </w:r>
    </w:p>
    <w:p>
      <w:pPr>
        <w:pStyle w:val="Heading1"/>
        <w:spacing w:before="360" w:after="120" w:line="276" w:lineRule="auto"/>
      </w:pPr>
      <w:r>
        <w:rPr>
          <w:rFonts w:ascii="Calibri" w:hAnsi="Calibri"/>
          <w:b/>
          <w:color w:val="1B365D"/>
          <w:sz w:val="32"/>
        </w:rPr>
        <w:t>4. How Structural Changes Impact HRMO Operations</w:t>
      </w:r>
    </w:p>
    <w:p>
      <w:pPr>
        <w:spacing w:before="0" w:after="120" w:line="276" w:lineRule="auto"/>
      </w:pPr>
      <w:r>
        <w:t>An organizational structure is never static, and the HRMO must constantly adapt its operations to fit changes in the system layout:</w:t>
      </w:r>
    </w:p>
    <w:p>
      <w:pPr>
        <w:pStyle w:val="ListBullet"/>
        <w:spacing w:before="40" w:after="80" w:line="276" w:lineRule="auto"/>
      </w:pPr>
      <w:r>
        <w:rPr>
          <w:b/>
          <w:color w:val="333333"/>
        </w:rPr>
        <w:t xml:space="preserve">When Scaling Up (Adding Layers): </w:t>
      </w:r>
      <w:r>
        <w:t>The HRMO must formalize recruitment channels, write more rigid job descriptions, and implement standardized evaluation programs to prevent information silos.</w:t>
      </w:r>
    </w:p>
    <w:p>
      <w:pPr>
        <w:pStyle w:val="ListBullet"/>
        <w:spacing w:before="40" w:after="80" w:line="276" w:lineRule="auto"/>
      </w:pPr>
      <w:r>
        <w:rPr>
          <w:b/>
          <w:color w:val="333333"/>
        </w:rPr>
        <w:t xml:space="preserve">When Restructuring (Flattening the Hierarchy): </w:t>
      </w:r>
      <w:r>
        <w:t>The HRMO must manage employee transition anxieties, retrain managers to oversee broader groups, and redesign loose job profiles into cross-functional descriptions.</w:t>
      </w:r>
    </w:p>
    <w:p>
      <w:pPr>
        <w:pStyle w:val="ListBullet"/>
        <w:spacing w:before="40" w:after="80" w:line="276" w:lineRule="auto"/>
      </w:pPr>
      <w:r>
        <w:rPr>
          <w:b/>
          <w:color w:val="333333"/>
        </w:rPr>
        <w:t xml:space="preserve">When Transitioning to a Matrix Setup: </w:t>
      </w:r>
      <w:r>
        <w:t>The HRMO must actively manage conflict channels because employees deal with two direct supervisors. Evaluation forms must be updated to integrate multi-rater feedback strings.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3333"/>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